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277" w:rsidRDefault="00F74277" w:rsidP="00F74277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F74277" w:rsidRDefault="00F74277" w:rsidP="00F74277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F74277" w:rsidRPr="00CE1A39" w:rsidRDefault="00F74277" w:rsidP="00F74277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F74277" w:rsidRDefault="00F74277" w:rsidP="00F74277">
      <w:pPr>
        <w:rPr>
          <w:rFonts w:cs="Times New Roman"/>
          <w:b/>
          <w:noProof/>
          <w:szCs w:val="24"/>
        </w:rPr>
      </w:pPr>
    </w:p>
    <w:p w:rsidR="00F74277" w:rsidRDefault="00F74277" w:rsidP="00F74277">
      <w:pPr>
        <w:rPr>
          <w:rFonts w:cs="Times New Roman"/>
          <w:b/>
          <w:noProof/>
          <w:szCs w:val="24"/>
        </w:rPr>
      </w:pPr>
    </w:p>
    <w:p w:rsidR="00F74277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Pr="006B54FC" w:rsidRDefault="00F74277" w:rsidP="00F74277">
      <w:pPr>
        <w:rPr>
          <w:rFonts w:cs="Times New Roman"/>
          <w:szCs w:val="24"/>
        </w:rPr>
      </w:pPr>
    </w:p>
    <w:p w:rsidR="00F74277" w:rsidRDefault="00F74277" w:rsidP="00F74277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F74277" w:rsidRDefault="00F74277" w:rsidP="000D16DF">
      <w:pPr>
        <w:rPr>
          <w:rFonts w:cs="Times New Roman"/>
          <w:szCs w:val="24"/>
        </w:rPr>
      </w:pPr>
      <w:bookmarkStart w:id="0" w:name="_GoBack"/>
      <w:bookmarkEnd w:id="0"/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D31F2B">
        <w:rPr>
          <w:rFonts w:eastAsia="Times New Roman" w:cs="Times New Roman"/>
          <w:b/>
        </w:rPr>
        <w:t>Восточно-Тагульского-2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EF4E59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69740" w:history="1">
            <w:r w:rsidR="00EF4E59" w:rsidRPr="00FF0F7C">
              <w:rPr>
                <w:rStyle w:val="ab"/>
                <w:rFonts w:cs="Times New Roman"/>
                <w:noProof/>
              </w:rPr>
              <w:t>1.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Основные проектные данные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_Toc213769740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3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1" w:history="1">
            <w:r w:rsidR="00EF4E59" w:rsidRPr="00FF0F7C">
              <w:rPr>
                <w:rStyle w:val="ab"/>
                <w:rFonts w:cs="Times New Roman"/>
                <w:noProof/>
              </w:rPr>
              <w:t>2.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Конструкция скважины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_Toc213769741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2" w:history="1">
            <w:r w:rsidR="00EF4E59" w:rsidRPr="00FF0F7C">
              <w:rPr>
                <w:rStyle w:val="ab"/>
                <w:rFonts w:cs="Times New Roman"/>
                <w:noProof/>
              </w:rPr>
              <w:t>3.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Геологическая информация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_Toc213769742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5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3" w:history="1">
            <w:r w:rsidR="00EF4E59" w:rsidRPr="00FF0F7C">
              <w:rPr>
                <w:rStyle w:val="ab"/>
                <w:rFonts w:cs="Times New Roman"/>
                <w:noProof/>
              </w:rPr>
              <w:t>4.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Буровые растворы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_Toc213769743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5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4" w:history="1">
            <w:r w:rsidR="00EF4E59" w:rsidRPr="00FF0F7C">
              <w:rPr>
                <w:rStyle w:val="ab"/>
                <w:rFonts w:cs="Times New Roman"/>
                <w:noProof/>
              </w:rPr>
              <w:t>5.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Геологическая нагрузка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_Toc213769744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6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5" w:history="1">
            <w:r w:rsidR="00EF4E59" w:rsidRPr="00FF0F7C">
              <w:rPr>
                <w:rStyle w:val="ab"/>
                <w:rFonts w:cs="Times New Roman"/>
                <w:noProof/>
              </w:rPr>
              <w:t>6.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Объем и состав услуг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_Toc213769745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6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6" w:history="1">
            <w:r w:rsidR="00EF4E59" w:rsidRPr="00FF0F7C">
              <w:rPr>
                <w:rStyle w:val="ab"/>
                <w:rFonts w:cs="Times New Roman"/>
                <w:noProof/>
              </w:rPr>
              <w:t>7.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Оборудование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_Toc213769746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9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7" w:history="1">
            <w:r w:rsidR="00EF4E59" w:rsidRPr="00FF0F7C">
              <w:rPr>
                <w:rStyle w:val="ab"/>
                <w:rFonts w:cs="Times New Roman"/>
                <w:noProof/>
              </w:rPr>
              <w:t>8.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Персонал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_Toc213769747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10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8" w:history="1">
            <w:r w:rsidR="00EF4E59" w:rsidRPr="00FF0F7C">
              <w:rPr>
                <w:rStyle w:val="ab"/>
                <w:noProof/>
              </w:rPr>
              <w:t>8.1.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_Toc213769748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11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49" w:history="1">
            <w:r w:rsidR="00EF4E59" w:rsidRPr="00FF0F7C">
              <w:rPr>
                <w:rStyle w:val="ab"/>
                <w:noProof/>
              </w:rPr>
              <w:t>8.2.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_Toc213769749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12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0" w:history="1">
            <w:r w:rsidR="00EF4E59" w:rsidRPr="00FF0F7C">
              <w:rPr>
                <w:rStyle w:val="ab"/>
                <w:noProof/>
              </w:rPr>
              <w:t>8.3.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Координатор проекта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_Toc213769750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13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1" w:history="1">
            <w:r w:rsidR="00EF4E59" w:rsidRPr="00FF0F7C">
              <w:rPr>
                <w:rStyle w:val="ab"/>
                <w:rFonts w:eastAsia="Times New Roman"/>
                <w:noProof/>
              </w:rPr>
              <w:t>8.4.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_Toc213769751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13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2" w:history="1">
            <w:r w:rsidR="00EF4E59" w:rsidRPr="00FF0F7C">
              <w:rPr>
                <w:rStyle w:val="ab"/>
                <w:rFonts w:cs="Times New Roman"/>
                <w:noProof/>
              </w:rPr>
              <w:t>9.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Проживание, питание и перевозка (смена) персонала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_Toc213769752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3" w:history="1">
            <w:r w:rsidR="00EF4E59" w:rsidRPr="00FF0F7C">
              <w:rPr>
                <w:rStyle w:val="ab"/>
                <w:rFonts w:cs="Times New Roman"/>
                <w:noProof/>
              </w:rPr>
              <w:t>10.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_Toc213769753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4" w:history="1">
            <w:r w:rsidR="00EF4E59" w:rsidRPr="00FF0F7C">
              <w:rPr>
                <w:rStyle w:val="ab"/>
                <w:rFonts w:cs="Times New Roman"/>
                <w:noProof/>
              </w:rPr>
              <w:t>11.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_Toc213769754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5" w:history="1">
            <w:r w:rsidR="00EF4E59" w:rsidRPr="00FF0F7C">
              <w:rPr>
                <w:rStyle w:val="ab"/>
                <w:rFonts w:cs="Times New Roman"/>
                <w:noProof/>
              </w:rPr>
              <w:t>12.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Страхование персонала Исполнителя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_Toc213769755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6" w:history="1">
            <w:r w:rsidR="00EF4E59" w:rsidRPr="00FF0F7C">
              <w:rPr>
                <w:rStyle w:val="ab"/>
                <w:rFonts w:cs="Times New Roman"/>
                <w:noProof/>
              </w:rPr>
              <w:t>13.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_Toc213769756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14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7" w:history="1">
            <w:r w:rsidR="00EF4E59" w:rsidRPr="00FF0F7C">
              <w:rPr>
                <w:rStyle w:val="ab"/>
                <w:rFonts w:cs="Times New Roman"/>
                <w:noProof/>
              </w:rPr>
              <w:t>14.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Требования к Исполнителю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_Toc213769757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15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8" w:history="1">
            <w:r w:rsidR="00EF4E59" w:rsidRPr="00FF0F7C">
              <w:rPr>
                <w:rStyle w:val="ab"/>
                <w:rFonts w:cs="Times New Roman"/>
                <w:noProof/>
              </w:rPr>
              <w:t>15.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Результат и оплата оказанных услуг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_Toc213769758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15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EF4E59" w:rsidRDefault="00F7427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69759" w:history="1">
            <w:r w:rsidR="00EF4E59" w:rsidRPr="00FF0F7C">
              <w:rPr>
                <w:rStyle w:val="ab"/>
                <w:rFonts w:cs="Times New Roman"/>
                <w:noProof/>
              </w:rPr>
              <w:t>16.</w:t>
            </w:r>
            <w:r w:rsidR="00EF4E59">
              <w:rPr>
                <w:rFonts w:asciiTheme="minorHAnsi" w:hAnsiTheme="minorHAnsi"/>
                <w:noProof/>
                <w:sz w:val="22"/>
              </w:rPr>
              <w:tab/>
            </w:r>
            <w:r w:rsidR="00EF4E59" w:rsidRPr="00FF0F7C">
              <w:rPr>
                <w:rStyle w:val="ab"/>
                <w:noProof/>
              </w:rPr>
              <w:t>Приложения</w:t>
            </w:r>
            <w:r w:rsidR="00EF4E59">
              <w:rPr>
                <w:noProof/>
                <w:webHidden/>
              </w:rPr>
              <w:tab/>
            </w:r>
            <w:r w:rsidR="00EF4E59">
              <w:rPr>
                <w:noProof/>
                <w:webHidden/>
              </w:rPr>
              <w:fldChar w:fldCharType="begin"/>
            </w:r>
            <w:r w:rsidR="00EF4E59">
              <w:rPr>
                <w:noProof/>
                <w:webHidden/>
              </w:rPr>
              <w:instrText xml:space="preserve"> PAGEREF _Toc213769759 \h </w:instrText>
            </w:r>
            <w:r w:rsidR="00EF4E59">
              <w:rPr>
                <w:noProof/>
                <w:webHidden/>
              </w:rPr>
            </w:r>
            <w:r w:rsidR="00EF4E59">
              <w:rPr>
                <w:noProof/>
                <w:webHidden/>
              </w:rPr>
              <w:fldChar w:fldCharType="separate"/>
            </w:r>
            <w:r w:rsidR="00EF4E59">
              <w:rPr>
                <w:noProof/>
                <w:webHidden/>
              </w:rPr>
              <w:t>15</w:t>
            </w:r>
            <w:r w:rsidR="00EF4E59"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D31F2B">
        <w:rPr>
          <w:rFonts w:cs="Times New Roman"/>
          <w:szCs w:val="24"/>
        </w:rPr>
        <w:t>Восточно-Тагульском-2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D31F2B">
        <w:rPr>
          <w:rFonts w:cs="Times New Roman"/>
          <w:szCs w:val="24"/>
        </w:rPr>
        <w:t>Восточно-Тагульского-2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6974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31F2B" w:rsidRPr="007A0512" w:rsidTr="00D31F2B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31F2B" w:rsidRPr="00ED3990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Восточно-</w:t>
            </w:r>
            <w:proofErr w:type="spellStart"/>
            <w:r w:rsidRPr="008B796E">
              <w:rPr>
                <w:sz w:val="18"/>
                <w:szCs w:val="18"/>
              </w:rPr>
              <w:t>Тагульский</w:t>
            </w:r>
            <w:proofErr w:type="spellEnd"/>
            <w:r w:rsidRPr="008B796E">
              <w:rPr>
                <w:sz w:val="18"/>
                <w:szCs w:val="18"/>
              </w:rPr>
              <w:t xml:space="preserve"> -2 ЛУ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 w:val="restar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1. п.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432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Планируемый зимник (зона ответственности бурового под – рядчика – 3 км):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т.1 – № 1 Восточно-Тагульского-2 ЛУ – 3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Расстояние до карьера – 74 км: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1. Карьер 87– т.2 – 29 км;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т.2 – т.1 – 42 км;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3. т.1 -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3 км.</w:t>
            </w:r>
          </w:p>
          <w:p w:rsidR="00D31F2B" w:rsidRPr="008B796E" w:rsidRDefault="00D31F2B" w:rsidP="00D31F2B">
            <w:pPr>
              <w:rPr>
                <w:rFonts w:eastAsia="Times New Roman"/>
                <w:sz w:val="18"/>
                <w:szCs w:val="18"/>
              </w:rPr>
            </w:pPr>
          </w:p>
          <w:p w:rsidR="00D31F2B" w:rsidRPr="00084E42" w:rsidRDefault="00D31F2B" w:rsidP="00D31F2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8B796E">
              <w:rPr>
                <w:rFonts w:eastAsia="Times New Roman"/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8B796E" w:rsidRDefault="00D31F2B" w:rsidP="00D31F2B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1. а/п Красноярск – а/п Игарка – 1320 км;</w:t>
            </w:r>
          </w:p>
          <w:p w:rsidR="00D31F2B" w:rsidRPr="008B796E" w:rsidRDefault="00D31F2B" w:rsidP="00D31F2B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 xml:space="preserve">2. а/п Игарка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99 км.</w:t>
            </w:r>
          </w:p>
          <w:p w:rsidR="00D31F2B" w:rsidRPr="007A0512" w:rsidRDefault="00D31F2B" w:rsidP="00D31F2B">
            <w:pPr>
              <w:jc w:val="left"/>
              <w:rPr>
                <w:sz w:val="18"/>
                <w:szCs w:val="18"/>
                <w:highlight w:val="yellow"/>
              </w:rPr>
            </w:pPr>
            <w:r w:rsidRPr="008B796E">
              <w:rPr>
                <w:sz w:val="18"/>
                <w:szCs w:val="18"/>
              </w:rPr>
              <w:t xml:space="preserve">3. а/п Норильск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230 км.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1F2B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31F2B" w:rsidRPr="00916981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31F2B" w:rsidRPr="00916981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31F2B" w:rsidRPr="007A0512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31F2B" w:rsidRPr="008B796E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B796E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  <w:p w:rsidR="00D31F2B" w:rsidRPr="00262426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 w:rsidRPr="008B796E">
              <w:rPr>
                <w:color w:val="000000"/>
                <w:sz w:val="18"/>
                <w:szCs w:val="18"/>
              </w:rPr>
              <w:t>(J3jan)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31F2B" w:rsidRPr="007A0512" w:rsidRDefault="00D31F2B" w:rsidP="00D31F2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31F2B" w:rsidRPr="007A0512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31F2B" w:rsidRPr="007A0512" w:rsidTr="00D31F2B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31F2B" w:rsidRPr="007A0512" w:rsidTr="00D31F2B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7A0512" w:rsidRDefault="00D31F2B" w:rsidP="00D31F2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7A0512" w:rsidRDefault="00D31F2B" w:rsidP="00D31F2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31F2B" w:rsidRPr="008B796E" w:rsidRDefault="00D31F2B" w:rsidP="00D31F2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96E"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6974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D31F2B" w:rsidRPr="00140354" w:rsidTr="00D31F2B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31F2B" w:rsidRPr="00140354" w:rsidTr="00D31F2B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31F2B" w:rsidRPr="00140354" w:rsidTr="00D31F2B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31F2B" w:rsidRPr="00140354" w:rsidTr="00D31F2B">
        <w:trPr>
          <w:trHeight w:val="53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cs="Arial"/>
                <w:sz w:val="20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D31F2B" w:rsidRPr="00140354" w:rsidTr="00D31F2B">
        <w:trPr>
          <w:trHeight w:val="53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4E12B1">
              <w:rPr>
                <w:color w:val="000000"/>
                <w:sz w:val="16"/>
                <w:szCs w:val="18"/>
              </w:rPr>
              <w:t>Промежуточная</w:t>
            </w:r>
            <w:r>
              <w:rPr>
                <w:color w:val="000000"/>
                <w:sz w:val="16"/>
                <w:szCs w:val="18"/>
              </w:rPr>
              <w:t xml:space="preserve"> колонна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</w:tr>
      <w:tr w:rsidR="00D31F2B" w:rsidRPr="00140354" w:rsidTr="00D31F2B">
        <w:trPr>
          <w:trHeight w:val="308"/>
          <w:jc w:val="center"/>
        </w:trPr>
        <w:tc>
          <w:tcPr>
            <w:tcW w:w="757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68,3</w:t>
            </w:r>
          </w:p>
        </w:tc>
        <w:tc>
          <w:tcPr>
            <w:tcW w:w="487" w:type="pct"/>
            <w:vAlign w:val="center"/>
          </w:tcPr>
          <w:p w:rsidR="00D31F2B" w:rsidRPr="008B796E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556" w:type="pct"/>
            <w:vAlign w:val="center"/>
          </w:tcPr>
          <w:p w:rsidR="00D31F2B" w:rsidRPr="008B796E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696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8,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3" w:type="pct"/>
            <w:vAlign w:val="center"/>
          </w:tcPr>
          <w:p w:rsidR="00D31F2B" w:rsidRPr="00140354" w:rsidRDefault="00D31F2B" w:rsidP="00D31F2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D31F2B" w:rsidRPr="00140354" w:rsidTr="00D31F2B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31F2B" w:rsidRPr="00140354" w:rsidRDefault="00D31F2B" w:rsidP="00D31F2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D31F2B" w:rsidRPr="00E440A3" w:rsidRDefault="00D31F2B" w:rsidP="00D31F2B">
      <w:r w:rsidRPr="00E440A3">
        <w:t>Профиль скважины: вертикальный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25</w:t>
      </w:r>
      <w:r w:rsidRPr="00E440A3">
        <w:t>00 м (по вертикали)</w:t>
      </w:r>
      <w:r>
        <w:t>;</w:t>
      </w:r>
    </w:p>
    <w:p w:rsidR="00D31F2B" w:rsidRDefault="00D31F2B" w:rsidP="00D31F2B">
      <w:r w:rsidRPr="00B1395A">
        <w:t xml:space="preserve">Проектный </w:t>
      </w:r>
      <w:r w:rsidRPr="00146AB4">
        <w:t>горизонт:</w:t>
      </w:r>
      <w:r>
        <w:t xml:space="preserve"> </w:t>
      </w:r>
      <w:proofErr w:type="spellStart"/>
      <w:r>
        <w:t>яновстанская</w:t>
      </w:r>
      <w:proofErr w:type="spellEnd"/>
      <w:r>
        <w:t xml:space="preserve"> свита</w:t>
      </w:r>
      <w:r w:rsidRPr="00B63EDF">
        <w:t>, (</w:t>
      </w:r>
      <w:r w:rsidRPr="00D31F2B">
        <w:rPr>
          <w:lang w:val="en-US"/>
        </w:rPr>
        <w:t>J</w:t>
      </w:r>
      <w:r w:rsidRPr="003231AC">
        <w:t>3</w:t>
      </w:r>
      <w:proofErr w:type="spellStart"/>
      <w:r w:rsidRPr="00D31F2B">
        <w:rPr>
          <w:lang w:val="en-US"/>
        </w:rPr>
        <w:t>jan</w:t>
      </w:r>
      <w:proofErr w:type="spellEnd"/>
      <w:r w:rsidRPr="00B63EDF">
        <w:t xml:space="preserve">), </w:t>
      </w:r>
      <w:r>
        <w:t>верхняя юра.</w:t>
      </w:r>
    </w:p>
    <w:p w:rsidR="00D31F2B" w:rsidRPr="00D25ACF" w:rsidRDefault="00D31F2B" w:rsidP="00D31F2B">
      <w:r>
        <w:t xml:space="preserve">Целевое назначение: </w:t>
      </w:r>
      <w:r w:rsidRPr="00586411">
        <w:t xml:space="preserve">поиск залежей </w:t>
      </w:r>
      <w:r w:rsidRPr="00D25ACF">
        <w:t>нефти и газа в меловых отложениях,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D25ACF">
        <w:t>Координаты устья скважины Пулково 42 С.Ш. 67°35'0,43" В.Д. 84°18'55,64" (уточняются по результатам обработки и интерпретации СРР). Круг допуска 30</w:t>
      </w:r>
      <w:r>
        <w:t xml:space="preserve"> </w:t>
      </w:r>
      <w:r w:rsidRPr="00D25ACF">
        <w:t>м</w:t>
      </w:r>
      <w:r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отбор керна по изолированной технологии диаметром – </w:t>
      </w:r>
      <w:r w:rsidR="00D31F2B" w:rsidRPr="00D31F2B">
        <w:t>10</w:t>
      </w:r>
      <w:r w:rsidR="00D80D2B" w:rsidRPr="00D31F2B">
        <w:t>0/1</w:t>
      </w:r>
      <w:r w:rsidR="00D31F2B" w:rsidRPr="00D31F2B">
        <w:t>1</w:t>
      </w:r>
      <w:r w:rsidR="00D80D2B" w:rsidRPr="00D31F2B">
        <w:t>0 мм (в зависимости от конструкции скважины);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прохождение геофизических приборов диаметром – 1</w:t>
      </w:r>
      <w:r w:rsidR="00D31F2B" w:rsidRPr="00D31F2B">
        <w:t>6</w:t>
      </w:r>
      <w:r w:rsidR="00D80D2B" w:rsidRPr="00D31F2B">
        <w:t>0 мм.</w:t>
      </w: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69742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31F2B" w:rsidRPr="00140354" w:rsidTr="00D31F2B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31F2B" w:rsidRPr="00140354" w:rsidRDefault="00D31F2B" w:rsidP="00D31F2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31F2B" w:rsidRPr="00140354" w:rsidTr="00D31F2B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78</w:t>
            </w:r>
          </w:p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0-</w:t>
            </w:r>
            <w:r>
              <w:rPr>
                <w:rFonts w:ascii="Times" w:hAnsi="Times"/>
                <w:sz w:val="20"/>
                <w:szCs w:val="20"/>
              </w:rPr>
              <w:t>125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Танамская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125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Салпадаяхинская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-350-390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28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D31F2B" w:rsidRPr="00140354" w:rsidTr="00D31F2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Насоновская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-390-740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-8</w:t>
            </w: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D31F2B" w:rsidRPr="00140354" w:rsidTr="00D31F2B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Дорожковская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-740-830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8</w:t>
            </w:r>
            <w:r>
              <w:rPr>
                <w:rFonts w:ascii="Times" w:hAnsi="Times"/>
                <w:sz w:val="20"/>
                <w:szCs w:val="20"/>
              </w:rPr>
              <w:t>18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-9</w:t>
            </w:r>
            <w:r>
              <w:rPr>
                <w:rFonts w:ascii="Times" w:hAnsi="Times"/>
                <w:sz w:val="20"/>
                <w:szCs w:val="20"/>
              </w:rPr>
              <w:t>08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D31F2B" w:rsidRPr="00140354" w:rsidTr="00D31F2B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-830-1101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9</w:t>
            </w:r>
            <w:r>
              <w:rPr>
                <w:rFonts w:ascii="Times" w:hAnsi="Times"/>
                <w:sz w:val="20"/>
                <w:szCs w:val="20"/>
              </w:rPr>
              <w:t>08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</w:tr>
      <w:tr w:rsidR="00D31F2B" w:rsidRPr="00140354" w:rsidTr="00D31F2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DF3641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-1101-1555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алевролитов, </w:t>
            </w: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аргиллитоподобных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</w:tr>
      <w:tr w:rsidR="00D31F2B" w:rsidRPr="00140354" w:rsidTr="00D31F2B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Малохетская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-1555-1661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Суходудинская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-1661-2096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</w:tr>
      <w:tr w:rsidR="00D31F2B" w:rsidRPr="00140354" w:rsidTr="00D31F2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B03F9B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Нижнехетская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9070BF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-2096-2290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</w:tr>
      <w:tr w:rsidR="00D31F2B" w:rsidRPr="00140354" w:rsidTr="00D31F2B">
        <w:trPr>
          <w:trHeight w:val="2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Яновстанская</w:t>
            </w:r>
            <w:proofErr w:type="spellEnd"/>
          </w:p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4F1114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2290-24</w:t>
            </w:r>
            <w:r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DF3641" w:rsidRDefault="00D31F2B" w:rsidP="00D31F2B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F20417" w:rsidRDefault="00D31F2B" w:rsidP="00D31F2B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глины, алевролитов,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D31F2B" w:rsidRPr="00C83C0F" w:rsidTr="00D31F2B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31F2B" w:rsidRPr="00C83C0F" w:rsidTr="00D31F2B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31F2B" w:rsidRPr="00C83C0F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31F2B" w:rsidRPr="00C83C0F" w:rsidTr="00D31F2B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0-500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 (ММП)</w:t>
            </w:r>
          </w:p>
        </w:tc>
      </w:tr>
      <w:tr w:rsidR="00D31F2B" w:rsidRPr="00C20B7A" w:rsidTr="00D31F2B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31F2B" w:rsidRPr="00707CC9" w:rsidRDefault="00D31F2B" w:rsidP="00D31F2B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500-</w:t>
            </w:r>
            <w:r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F2B" w:rsidRPr="007A21A2" w:rsidRDefault="00D31F2B" w:rsidP="00D3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69743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D31F2B" w:rsidRPr="004C1D24" w:rsidTr="00D31F2B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31F2B" w:rsidRPr="004C1D24" w:rsidTr="00D31F2B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31F2B" w:rsidRPr="004C1D24" w:rsidRDefault="00D31F2B" w:rsidP="00D31F2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31F2B" w:rsidRPr="004C1D24" w:rsidTr="00D31F2B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31F2B" w:rsidRPr="004C1D24" w:rsidTr="00D31F2B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D31F2B" w:rsidRPr="007C30FC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5 – 15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31F2B" w:rsidRPr="004C1D24" w:rsidTr="00D31F2B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D31F2B" w:rsidRPr="007C30FC" w:rsidRDefault="00D31F2B" w:rsidP="00D31F2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2500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31F2B" w:rsidRPr="00087F8E" w:rsidRDefault="00D31F2B" w:rsidP="00D31F2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 xml:space="preserve">15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D31F2B" w:rsidRPr="00087F8E" w:rsidRDefault="00D31F2B" w:rsidP="00D31F2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69744"/>
      <w:r>
        <w:lastRenderedPageBreak/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D31F2B" w:rsidRPr="003F3E1B" w:rsidTr="00572BA5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D31F2B" w:rsidRPr="003F3E1B" w:rsidTr="00572BA5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31F2B" w:rsidRPr="003F3E1B" w:rsidRDefault="00D31F2B" w:rsidP="00D31F2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1980-1998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K1sd,</w:t>
            </w:r>
            <w:r w:rsidRPr="007C30FC">
              <w:rPr>
                <w:sz w:val="18"/>
              </w:rPr>
              <w:t xml:space="preserve"> Сд8-10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2172-2190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rFonts w:ascii="Times" w:hAnsi="Times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K1nch,</w:t>
            </w:r>
          </w:p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sz w:val="18"/>
                <w:szCs w:val="20"/>
              </w:rPr>
              <w:t>Нх-1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2259-2313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K1nch,</w:t>
            </w:r>
            <w:r w:rsidRPr="007C30FC">
              <w:rPr>
                <w:sz w:val="18"/>
                <w:szCs w:val="20"/>
              </w:rPr>
              <w:t xml:space="preserve"> </w:t>
            </w:r>
            <w:proofErr w:type="spellStart"/>
            <w:r w:rsidRPr="007C30FC">
              <w:rPr>
                <w:sz w:val="18"/>
                <w:szCs w:val="20"/>
              </w:rPr>
              <w:t>Нх</w:t>
            </w:r>
            <w:proofErr w:type="spellEnd"/>
            <w:r w:rsidRPr="007C30FC">
              <w:rPr>
                <w:sz w:val="18"/>
                <w:szCs w:val="20"/>
              </w:rPr>
              <w:t>-</w:t>
            </w:r>
            <w:r w:rsidRPr="007C30FC">
              <w:rPr>
                <w:sz w:val="18"/>
                <w:szCs w:val="20"/>
                <w:lang w:val="en-US"/>
              </w:rPr>
              <w:t>3-4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Малышевская</w:t>
            </w:r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2491-2500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color w:val="000000"/>
                <w:sz w:val="18"/>
                <w:szCs w:val="20"/>
                <w:lang w:val="en-US"/>
              </w:rPr>
            </w:pPr>
            <w:r w:rsidRPr="007C30FC">
              <w:rPr>
                <w:rFonts w:ascii="Times" w:hAnsi="Times"/>
                <w:sz w:val="18"/>
                <w:szCs w:val="20"/>
              </w:rPr>
              <w:t>J3jan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F2B" w:rsidRPr="001246F8" w:rsidRDefault="00D31F2B" w:rsidP="00D31F2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Вымская</w:t>
            </w:r>
            <w:proofErr w:type="spellEnd"/>
          </w:p>
        </w:tc>
      </w:tr>
      <w:tr w:rsidR="00D31F2B" w:rsidRPr="003F3E1B" w:rsidTr="00572BA5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7C30FC" w:rsidRDefault="00D31F2B" w:rsidP="00D31F2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B" w:rsidRPr="003F3E1B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F2B" w:rsidRPr="003F3E1B" w:rsidRDefault="00D31F2B" w:rsidP="00D31F2B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6974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72BA5">
        <w:rPr>
          <w:szCs w:val="28"/>
        </w:rPr>
        <w:t>78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Pr="004226DE">
        <w:rPr>
          <w:bCs/>
        </w:rPr>
        <w:t>резьб</w:t>
      </w:r>
      <w:proofErr w:type="spellEnd"/>
      <w:r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EF4E59">
        <w:rPr>
          <w:color w:val="auto"/>
        </w:rPr>
        <w:t>промежуточная колонная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lastRenderedPageBreak/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F5782A">
        <w:rPr>
          <w:bCs/>
        </w:rPr>
        <w:t>резьб</w:t>
      </w:r>
      <w:proofErr w:type="spellEnd"/>
      <w:r w:rsidR="0050205B" w:rsidRPr="00F5782A">
        <w:rPr>
          <w:bCs/>
        </w:rPr>
        <w:t xml:space="preserve">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промежуточную</w:t>
      </w:r>
      <w:r w:rsidRPr="007062E2">
        <w:t xml:space="preserve"> и эксплуатационную колонн</w:t>
      </w:r>
      <w:r w:rsidR="00572BA5">
        <w:t>ы</w:t>
      </w:r>
      <w:r w:rsidRPr="007062E2">
        <w:t xml:space="preserve"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</w:t>
      </w:r>
      <w:proofErr w:type="spellStart"/>
      <w:r w:rsidRPr="007062E2">
        <w:t>инклинометрия</w:t>
      </w:r>
      <w:proofErr w:type="spellEnd"/>
      <w:r w:rsidRPr="007062E2">
        <w:t>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 xml:space="preserve">- сводный план скважины. Сводный отчет по скважине должен быть представлен Заказчику в течение четырнадцати (14) календарных дней после </w:t>
      </w:r>
      <w:proofErr w:type="spellStart"/>
      <w:r w:rsidRPr="007062E2">
        <w:t>заканчивания</w:t>
      </w:r>
      <w:proofErr w:type="spellEnd"/>
      <w:r w:rsidRPr="007062E2">
        <w:t xml:space="preserve">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6974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CB30FB">
        <w:t>промежуточная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6974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6974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6974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6975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6975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 xml:space="preserve">стаж работы в области </w:t>
      </w:r>
      <w:proofErr w:type="spellStart"/>
      <w:r w:rsidR="00130BF7">
        <w:t>ННБиТС</w:t>
      </w:r>
      <w:proofErr w:type="spellEnd"/>
      <w:r w:rsidR="00130BF7">
        <w:t xml:space="preserve">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6975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6975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6975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69755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6975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 xml:space="preserve">расчет траектории ствола по данным </w:t>
      </w:r>
      <w:proofErr w:type="spellStart"/>
      <w:r>
        <w:rPr>
          <w:szCs w:val="20"/>
        </w:rPr>
        <w:t>инклинометрии</w:t>
      </w:r>
      <w:proofErr w:type="spellEnd"/>
      <w:r>
        <w:rPr>
          <w:szCs w:val="20"/>
        </w:rPr>
        <w:t>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6975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6975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6975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803" w:rsidRDefault="00FE4803" w:rsidP="00E73977">
      <w:r>
        <w:separator/>
      </w:r>
    </w:p>
  </w:endnote>
  <w:endnote w:type="continuationSeparator" w:id="0">
    <w:p w:rsidR="00FE4803" w:rsidRDefault="00FE4803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FE4803" w:rsidRDefault="00FE480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E4803" w:rsidRPr="00FB1C21" w:rsidRDefault="00FE4803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803" w:rsidRDefault="00FE4803" w:rsidP="00E73977">
      <w:r>
        <w:separator/>
      </w:r>
    </w:p>
  </w:footnote>
  <w:footnote w:type="continuationSeparator" w:id="0">
    <w:p w:rsidR="00FE4803" w:rsidRDefault="00FE4803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EF4E59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4277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6D80C2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7130-2790-44CC-9366-1D3B6533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16</Pages>
  <Words>6092</Words>
  <Characters>34726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216</cp:revision>
  <dcterms:created xsi:type="dcterms:W3CDTF">2019-11-12T07:33:00Z</dcterms:created>
  <dcterms:modified xsi:type="dcterms:W3CDTF">2025-12-02T09:20:00Z</dcterms:modified>
</cp:coreProperties>
</file>